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67" w:rsidRDefault="003F3567" w:rsidP="002D37CB">
      <w:pPr>
        <w:spacing w:before="100" w:after="10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1. Thông tin liên hệ</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Tên đơn vị: </w:t>
      </w:r>
      <w:r w:rsidR="00CB1256">
        <w:rPr>
          <w:rFonts w:ascii="Times New Roman" w:hAnsi="Times New Roman" w:cs="Times New Roman"/>
          <w:sz w:val="28"/>
          <w:szCs w:val="28"/>
        </w:rPr>
        <w:t>Phòng Tư pháp</w:t>
      </w:r>
      <w:r w:rsidRPr="00DB4986">
        <w:rPr>
          <w:rFonts w:ascii="Times New Roman" w:hAnsi="Times New Roman" w:cs="Times New Roman"/>
          <w:sz w:val="28"/>
          <w:szCs w:val="28"/>
        </w:rPr>
        <w:t xml:space="preserve"> thành phố Trà Vinh.</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Địa chỉ: Số 09, đường Lê Thánh Tôn, Phường 2, thành phố Trà Vinh, tỉnh Trà Vinh.</w:t>
      </w:r>
    </w:p>
    <w:p w:rsidR="003F3567"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Số điện thoại: </w:t>
      </w:r>
      <w:r w:rsidR="00CB1256">
        <w:rPr>
          <w:rFonts w:ascii="Times New Roman" w:hAnsi="Times New Roman" w:cs="Times New Roman"/>
          <w:sz w:val="28"/>
          <w:szCs w:val="28"/>
        </w:rPr>
        <w:t>02943.858.973</w:t>
      </w:r>
    </w:p>
    <w:p w:rsidR="00DB4986" w:rsidRPr="00D67866" w:rsidRDefault="00DB4986" w:rsidP="002D37CB">
      <w:pPr>
        <w:spacing w:before="100" w:after="100" w:line="240" w:lineRule="auto"/>
        <w:ind w:firstLine="720"/>
        <w:jc w:val="both"/>
        <w:rPr>
          <w:rFonts w:ascii="Times New Roman" w:hAnsi="Times New Roman" w:cs="Times New Roman"/>
          <w:b/>
          <w:color w:val="FF0000"/>
          <w:sz w:val="28"/>
          <w:szCs w:val="28"/>
        </w:rPr>
      </w:pPr>
      <w:r w:rsidRPr="00D67866">
        <w:rPr>
          <w:rFonts w:ascii="Times New Roman" w:hAnsi="Times New Roman" w:cs="Times New Roman"/>
          <w:b/>
          <w:color w:val="FF0000"/>
          <w:sz w:val="28"/>
          <w:szCs w:val="28"/>
        </w:rPr>
        <w:t>2. Chức năng, nhiệm vụ</w:t>
      </w:r>
    </w:p>
    <w:p w:rsidR="00CB1256" w:rsidRPr="00CB1256" w:rsidRDefault="00CB1256" w:rsidP="00CB125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CB1256">
        <w:rPr>
          <w:rFonts w:ascii="Times New Roman" w:hAnsi="Times New Roman" w:cs="Times New Roman"/>
          <w:b/>
          <w:sz w:val="28"/>
          <w:szCs w:val="28"/>
        </w:rPr>
        <w:t>Vị trí và chức năng</w:t>
      </w:r>
    </w:p>
    <w:p w:rsidR="00CB1256" w:rsidRPr="00CB1256" w:rsidRDefault="00CB1256" w:rsidP="00CB1256">
      <w:pPr>
        <w:ind w:firstLine="709"/>
        <w:jc w:val="both"/>
        <w:rPr>
          <w:rFonts w:ascii="Times New Roman" w:hAnsi="Times New Roman" w:cs="Times New Roman"/>
          <w:sz w:val="28"/>
          <w:szCs w:val="28"/>
        </w:rPr>
      </w:pPr>
      <w:r>
        <w:rPr>
          <w:rFonts w:ascii="Times New Roman" w:hAnsi="Times New Roman" w:cs="Times New Roman"/>
          <w:sz w:val="28"/>
          <w:szCs w:val="28"/>
        </w:rPr>
        <w:t>1.</w:t>
      </w:r>
      <w:r w:rsidRPr="00CB1256">
        <w:rPr>
          <w:rFonts w:ascii="Times New Roman" w:hAnsi="Times New Roman" w:cs="Times New Roman"/>
          <w:sz w:val="28"/>
          <w:szCs w:val="28"/>
        </w:rPr>
        <w:t xml:space="preserve"> Phòng Tư pháp là cơ quan chuyên môn thuộc Ủy ban nhân dân cấp huyện, quận, thị xã, thành phố thuộc tỉnh (sau đây gọi chung là Ủy ban nhân dân cấp huyện), thực hiện chức năng tham mưu, giúp Ủy ban nhân dân cấp huyện quản lý nhà nước về: công tác xây dựng và thi hành pháp luật; theo dõi thi hành pháp luật; kiểm tra, xử lý văn bản quy phạm pháp luật; kiểm soát thủ tục hành chính; phổ biến, giáo dục pháp luật; hòa giải ở cơ sở; nuôi con nuôi; hộ tịch; chứng thực; bồi thường nhà nước; trợ giúp pháp lý; quản lý công tác thi hành pháp luật về xử lý vi phạm hành chính và công tác tư pháp khác theo quy định của pháp luật.</w:t>
      </w:r>
    </w:p>
    <w:p w:rsidR="00CB1256" w:rsidRPr="00CB1256" w:rsidRDefault="00CB1256" w:rsidP="00CB1256">
      <w:pPr>
        <w:ind w:firstLine="709"/>
        <w:jc w:val="both"/>
        <w:rPr>
          <w:rFonts w:ascii="Times New Roman" w:hAnsi="Times New Roman" w:cs="Times New Roman"/>
          <w:sz w:val="28"/>
          <w:szCs w:val="28"/>
        </w:rPr>
      </w:pPr>
      <w:r>
        <w:rPr>
          <w:rFonts w:ascii="Times New Roman" w:hAnsi="Times New Roman" w:cs="Times New Roman"/>
          <w:sz w:val="28"/>
          <w:szCs w:val="28"/>
        </w:rPr>
        <w:t>2.</w:t>
      </w:r>
      <w:r w:rsidRPr="00CB1256">
        <w:rPr>
          <w:rFonts w:ascii="Times New Roman" w:hAnsi="Times New Roman" w:cs="Times New Roman"/>
          <w:sz w:val="28"/>
          <w:szCs w:val="28"/>
        </w:rPr>
        <w:t xml:space="preserve"> Phòng Tư pháp chịu sự chỉ đạo, quản lý về tổ chức, vị trí việc làm, biên chế công chức, cơ cấu ngạch công chức và công tác của Ủy ban nhân dân cấp huyện, đồng thời chịu sự chỉ đạo, kiểm tra, thanh tra, hướng dẫn về chuyên môn nghiệp vụ của Sở Tư pháp.</w:t>
      </w:r>
    </w:p>
    <w:p w:rsidR="00CB1256" w:rsidRPr="00CB1256" w:rsidRDefault="00CB1256" w:rsidP="00CB1256">
      <w:pPr>
        <w:ind w:firstLine="709"/>
        <w:jc w:val="both"/>
        <w:rPr>
          <w:rFonts w:ascii="Times New Roman" w:hAnsi="Times New Roman" w:cs="Times New Roman"/>
          <w:b/>
          <w:sz w:val="28"/>
          <w:szCs w:val="28"/>
        </w:rPr>
      </w:pPr>
      <w:r>
        <w:rPr>
          <w:rFonts w:ascii="Times New Roman" w:hAnsi="Times New Roman" w:cs="Times New Roman"/>
          <w:b/>
          <w:sz w:val="28"/>
          <w:szCs w:val="28"/>
        </w:rPr>
        <w:t>*</w:t>
      </w:r>
      <w:r w:rsidRPr="00CB1256">
        <w:rPr>
          <w:rFonts w:ascii="Times New Roman" w:hAnsi="Times New Roman" w:cs="Times New Roman"/>
          <w:b/>
          <w:sz w:val="28"/>
          <w:szCs w:val="28"/>
        </w:rPr>
        <w:t xml:space="preserve"> Nhiệm vụ và quyền hạn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 Trình Ủy ban nhân dân cấp huyện ban hành quyết định, chỉ thị; quy hoạch, kế hoạch dài hạn, 05 năm và hàng năm về lĩnh vực tư pháp; chương trình, biện pháp tổ chức thực hiện các nhiệm vụ cải cách hành chính, cải cách tư pháp, xây dựng, hoàn thiện pháp luật về các lĩnh vực thuộc phạm vi thẩm quyền quyết định của Hội đồng nhân dân và Ủy ban nhân dân cấp huyện trong lĩnh vực tư pháp.</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 Trình Chủ tịch Ủy ban nhân dân cấp huyện dự thảo các văn bản về lĩnh vực tư pháp thuộc thẩm quyền ban hành của Chủ tịch Ủy ban nhân dân cấp huyện.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3. Tổ chức thực hiện các văn bản quy phạm pháp luật, quy hoạch, kế hoạch trong lĩnh vực tư pháp sau khi đã được cấp có thẩm quyền phê duyệt.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4. Chỉ đạo, hướng dẫn, kiểm tra chuyên môn nghiệp vụ về công tác tư pháp ở cấp xã.</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5. Về xây dựng văn bản quy phạm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Phối hợp xây dựng quyết định, chỉ thị thuộc thẩm quyền ban hành của Ủy ban nhân dân cấp huyện do các cơ quan chuyên môn khác thuộc Ủy ban nhân dân cấp huyện chủ trì xây dựng;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lastRenderedPageBreak/>
        <w:t>b) Thẩm định dự thảo các văn bản quy phạm pháp luật thuộc thẩm quyền ban hành của Hội đồng nhân dân và Ủy ban nhân dân cấp huyện; góp ý dự thảo văn bản quy phạm pháp luật của Hội đồng nhân dân cấp huyện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Tổ chức lấy ý kiến nhân dân về các dự án luật, pháp lệnh theo sự chỉ đạo của Ủy ban nhân dân cấp huyện và hướng dẫn của Sở Tư pháp.</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6. Về theo dõi thi hành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Xây dựng và trình Ủy ban nhân dân cấp huyện ban hành và tổ chức thực hiện Kế hoạch theo dõi tình hình thi hành pháp luật trên địa bàn;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Hướng dẫn, đôn đốc, kiểm tra các cơ quan chuyên môn thuộc Ủy ban nhân dân cấp huyện và công chức chuyên môn thuộc Ủy ban nhân dân cấp xã trong việc thực hiện công tác theo dõi tình hình thi hành pháp luật tại địa phương;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Tổng hợp, đề xuất với Ủy ban nhân dân cấp huyện về việc xử lý kết quả theo dõi tình hình thi hành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d) Theo dõi tình hình thi hành pháp luật trong lĩnh vực tư pháp thuộc phạm vi quản lý nhà nước của Ủy ban nhân dân cấp huyện.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7. Về kiểm tra văn bản quy phạm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Giúp Hội đồng nhân dân và Ủy ban nhân dân cấp huyện tự kiểm tra văn bản do Hội đồng nhân dân và Ủy ban nhân dân cấp huyện ban hành; hướng dẫn công chức chuyên môn thuộc Ủy ban nhân dân cấp xã thực hiện tự kiểm tra văn bản quy phạm pháp luật do Ủy ban nhân dân cấp xã ban hành;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Thực hiện kiểm tra văn bản quy phạm pháp luật của Hội đồng nhân dân và Ủy ban nhân dân cấp xã theo quy định của pháp luật; trình Chủ tịch Ủy ban nhân dân cấp huyện quyết định các biện pháp xử lý văn bản trái pháp luật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8. Tổ chức triển khai thực hiện việc rà soát, hệ thống hoá văn bản quy phạm pháp luật của Hội đồng nhân dân và Ủy ban nhân dân cấp huyện theo quy định của pháp luật; đôn đốc, hướng dẫn, tổng hợp kết quả rà soát, hệ thống hóa chung của các cơ quan chuyên môn thuộc Ủy ban nhân dân cấp huyện và của Ủy ban nhân dân cấp xã.</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9. Về kiểm soát thủ tục hành chính: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Tổ chức triển khai thực hiện nhiệm vụ kiểm soát thủ tục hành chính theo chỉ đạo của Ủy ban nhân dân cấp huyện, hướng dẫn của cơ quan tư pháp cấp trên và theo quy định của pháp luật về kiểm soát thủ tục hành chính;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Tham mưu giúp Ủy ban nhân dân cấp huyện chỉ đạo, tổ chức thực hiện rà soát, đánh giá thủ tục hành chính thực hiện trên địa bàn huyện để kiến nghị, đề xuất việc sửa đổi, bổ sung, hủy bỏ, bãi bỏ;</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 xml:space="preserve">c) Hướng dẫn, đôn đốc, kiểm tra việc thực hiện niêm yết công khai thủ tục hành chính, báo cáo tình hình, kết quả giải quyết thủ tục hành chính và tiếp </w:t>
      </w:r>
      <w:r w:rsidRPr="00CB1256">
        <w:rPr>
          <w:rFonts w:ascii="Times New Roman" w:hAnsi="Times New Roman" w:cs="Times New Roman"/>
          <w:sz w:val="28"/>
          <w:szCs w:val="28"/>
        </w:rPr>
        <w:lastRenderedPageBreak/>
        <w:t>nhận, xử lý phản ánh, kiến nghị về quy định hành chính của cơ quan chuyên môn cấp huyện, Ủy ban nhân dân cấp xã.</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10. Về phổ biến, giáo dục pháp luật và hòa giải ở cơ sở:</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Xây dựng, trình Ủy ban nhân dân cấp huyện ban hành chương trình, kế hoạch phổ biến, giáo dục pháp luật và tổ chức thực hiện sau khi chương trình, kế hoạch được ban hành;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Theo dõi, hướng dẫn và kiểm tra công tác phổ, biến giáo dục pháp luật tại địa phương; đôn đốc, kiểm tra các cơ quan chuyên môn trực thuộc Ủy ban nhân dân cấp huyện, cơ quan, tổ chức có liên quan và Ủy ban nhân dân cấp xã trong việc tổ chức Ngày Pháp luật nước Cộng hòa xã hội chủ nghĩa Việt Nam trên địa bàn;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Thực hiện nhiệm vụ của cơ quan thường trực Hội đồng phối hợp phổ biến, giáo dục pháp luật cấp huyện;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d) Xây dựng, quản lý đội ngũ báo cáo viên pháp luật, tuyên truyền viên pháp luật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đ) Hướng dẫn việc xây dựng, quản lý, khai thác tủ sách pháp luật ở cấp xã và ở các cơ quan, đơn vị khác trên địa bàn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e) Tổ chức triển khai thực hiện các quy định của pháp luật về hoà giải ở cơ sở.</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11. Thẩm định dự thảo hương ước, quy ước của thôn, tổ dân phố trước khi trình Chủ tịch Ủy ban nhân dân cấp huyện phê duyệt.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12. Giúp Ủy ban nhân dân cấp huyện thực hiện nhiệm vụ về xây dựng xã, phường, thị trấn tiếp cận pháp luật theo quy định.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13. Về quản lý và đăng ký hộ tịch: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Chỉ đạo, kiểm tra việc tổ chức thực hiện công tác đăng ký và quản lý hộ tịch trên địa bàn; tổ chức bồi dưỡng nghiệp vụ quản lý và đăng ký hộ tịch cho công chức Tư pháp - Hộ tịch cấp xã;</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Giúp Ủy ban nhân dân cấp huyện thực hiện đăng ký hộ tịch theo quy định của pháp luật; đề nghị Ủy ban nhân dân cấp huyện quyết định việc thu hồi, hủy bỏ những giấy tờ hộ tịch do Ủy ban nhân dân cấp xã cấp trái với quy định của pháp luật (trừ trường hợp kết hôn trái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Quản lý, cập nhật, khai thác Cơ sở dữ liệu hộ tịch điện tử và cấp bản sao trích lục hộ tịch theo quy định;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d) Quản lý, sử dụng Sổ hộ tịch, biểu mẫu hộ tịch; lưu trữ Sổ hộ tịch, hồ sơ đăng ký hộ tịch theo quy định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14. Thực hiện nhiệm vụ quản lý về nuôi con nuôi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15. Về chứng thực:</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lastRenderedPageBreak/>
        <w:t>a) Hướng dẫn, kiểm tra về nghiệp vụ cho công chức chuyên môn thuộc Ủy ban nhân dân cấp xã trong việc cấp bản sao từ sổ gốc, chứng thực bản sao từ bản chính, chứng thực chữ ký;</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Thực hiện cấp bản sao từ sổ gốc, chứng thực bản sao từ bản chính, chứng thực chữ ký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16. Về bồi thường nhà nước:</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Đề xuất, trình Ủy ban nhân dân cấp huyện xác định cơ quan có trách nhiệm bồi thường trong trường hợp người bị thiệt hại yêu cầu hoặc chưa có sự thống nhất về việc xác định cơ quan có trách nhiệm bồi thường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Hướng dẫn Ủy ban nhân dân cấp xã thực hiện việc giải quyết bồi thường;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Cung cấp thông tin, hướng dẫn thủ tục hỗ trợ người bị thiệt hại thực hiện quyền yêu cầu bồi thường trong hoạt động quản lý hành chính;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d) Theo dõi, đôn đốc, kiểm tra việc giải quyết bồi thường, chi trả tiền bồi thường và thực hiện trách nhiệm hoàn trả theo quy định của pháp luật đối với trường hợp Ủy ban nhân dân cấp xã có trách nhiệm giải quyết bồi thường.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17. Thực hiện nhiệm vụ trợ giúp pháp lý theo quy định của pháp luật.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18. Về quản lý công tác thi hành pháp luật về xử lý vi phạm hành chính: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a) Giúp Ủy ban nhân dân cấp huyện theo dõi, đôn đốc, kiểm tra và báo cáo công tác thi hành pháp luật về xử lý vi phạm hành chính tại địa phương;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b) Đề xuất với Ủy ban nhân dân cấp tỉnh kiến nghị cơ quan có thẩm quyền nghiên cứu, xử lý các quy định xử lý vi phạm hành chính không khả thi, không phù hợp với thực tiễn hoặc chồng chéo, mâu thuẫn với nhau;</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c) Hướng dẫn nghiệp vụ trong việc thực hiện pháp luật về xử lý vi phạm hành chính;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d) Thực hiện thống kê về xử lý vi phạm hành chính trong phạm vi quản lý của địa phương.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19. Giúp Ủy ban nhân dân cấp huyện thực hiện nhiệm vụ, quyền hạn về thi hành án dân sự, hành chính theo quy định của pháp luật và quy chế phối hợp công tác giữa cơ quan tư pháp và cơ quan thi hành án dân sự địa phương do Bộ Tư pháp ban hành.</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20. Tổ chức tập huấn, bồi dưỡng chuyên môn, nghiệp vụ quản lý nhà nước về công tác tư pháp đối với công chức Tư pháp - Hộ tịch cấp xã, các tổ chức và cá nhân khác có liên quan theo quy định của pháp luật.</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21. Tổ chức ứng dụng khoa học, công nghệ; xây dựng hệ thống thông tin, lưu trữ phục vụ công tác quản lý nhà nước về lĩnh vực thuộc phạm vi quản lý của Phòng.</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lastRenderedPageBreak/>
        <w:t>22. Thực hiện công tác thông tin, thống kê, báo cáo định kỳ và đột xuất về tình hình thực hiện nhiệm vụ được giao theo quy định của Ủy ban nhân dân cấp huyện và Sở Tư pháp.</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23.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của pháp luật và phân công của Ủy ban nhân dân cấp huyện.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24.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theo phân công của Ủy ban nhân dân cấp huyện.</w:t>
      </w:r>
    </w:p>
    <w:p w:rsidR="00CB125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25. Quản lý và chịu trách nhiệm về tài sản, tài chính của Phòng theo quy định của pháp luật và phân công của Ủy ban nhân dân cấp huyện.</w:t>
      </w:r>
    </w:p>
    <w:p w:rsidR="00D67866" w:rsidRPr="00CB1256" w:rsidRDefault="00CB1256" w:rsidP="00CB1256">
      <w:pPr>
        <w:ind w:firstLine="709"/>
        <w:jc w:val="both"/>
        <w:rPr>
          <w:rFonts w:ascii="Times New Roman" w:hAnsi="Times New Roman" w:cs="Times New Roman"/>
          <w:sz w:val="28"/>
          <w:szCs w:val="28"/>
        </w:rPr>
      </w:pPr>
      <w:r w:rsidRPr="00CB1256">
        <w:rPr>
          <w:rFonts w:ascii="Times New Roman" w:hAnsi="Times New Roman" w:cs="Times New Roman"/>
          <w:sz w:val="28"/>
          <w:szCs w:val="28"/>
        </w:rPr>
        <w:t>26. Thực hiện các nhiệm vụ khác do Ủy ban nhân dân cấp huyện giao hoặc theo quy định của pháp luật.</w:t>
      </w:r>
    </w:p>
    <w:p w:rsidR="00CB1256" w:rsidRPr="00D67866" w:rsidRDefault="00CB1256" w:rsidP="00CB1256">
      <w:pPr>
        <w:ind w:firstLine="709"/>
        <w:jc w:val="both"/>
        <w:rPr>
          <w:rFonts w:ascii="Times New Roman" w:hAnsi="Times New Roman" w:cs="Times New Roman"/>
          <w:sz w:val="28"/>
          <w:szCs w:val="28"/>
        </w:rPr>
      </w:pP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DANH SÁCH CÁN BỘ CÔNG CHỨC</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 xml:space="preserve">PHÒNG </w:t>
      </w:r>
      <w:r w:rsidR="00CB1256">
        <w:rPr>
          <w:rFonts w:ascii="Times New Roman" w:hAnsi="Times New Roman" w:cs="Times New Roman"/>
          <w:b/>
          <w:color w:val="FF0000"/>
          <w:sz w:val="28"/>
          <w:szCs w:val="28"/>
        </w:rPr>
        <w:t>TƯ PHÁP</w:t>
      </w:r>
      <w:r w:rsidRPr="0065289C">
        <w:rPr>
          <w:rFonts w:ascii="Times New Roman" w:hAnsi="Times New Roman" w:cs="Times New Roman"/>
          <w:b/>
          <w:color w:val="FF0000"/>
          <w:sz w:val="28"/>
          <w:szCs w:val="28"/>
        </w:rPr>
        <w:t xml:space="preserve"> THÀNH PHỐ</w:t>
      </w:r>
    </w:p>
    <w:p w:rsidR="0065289C" w:rsidRPr="00CB1256" w:rsidRDefault="00BC1F1B" w:rsidP="00CB1256">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31750</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7pt,2.5pt" to="24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3etQEAAMIDAAAOAAAAZHJzL2Uyb0RvYy54bWysU8GOEzEMvSPxD1HudKaVW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" strokecolor="#4579b8 [3044]"/>
            </w:pict>
          </mc:Fallback>
        </mc:AlternateContent>
      </w:r>
    </w:p>
    <w:tbl>
      <w:tblPr>
        <w:tblStyle w:val="TableGrid"/>
        <w:tblW w:w="9782" w:type="dxa"/>
        <w:tblInd w:w="-318" w:type="dxa"/>
        <w:tblLook w:val="04A0" w:firstRow="1" w:lastRow="0" w:firstColumn="1" w:lastColumn="0" w:noHBand="0" w:noVBand="1"/>
      </w:tblPr>
      <w:tblGrid>
        <w:gridCol w:w="852"/>
        <w:gridCol w:w="3180"/>
        <w:gridCol w:w="2206"/>
        <w:gridCol w:w="2126"/>
        <w:gridCol w:w="1418"/>
      </w:tblGrid>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STT</w:t>
            </w:r>
          </w:p>
        </w:tc>
        <w:tc>
          <w:tcPr>
            <w:tcW w:w="3180"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HỌ TÊN</w:t>
            </w:r>
          </w:p>
        </w:tc>
        <w:tc>
          <w:tcPr>
            <w:tcW w:w="220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CHỨC VỤ</w:t>
            </w:r>
          </w:p>
        </w:tc>
        <w:tc>
          <w:tcPr>
            <w:tcW w:w="212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SỐ ĐIỆN THOẠI</w:t>
            </w:r>
          </w:p>
        </w:tc>
        <w:tc>
          <w:tcPr>
            <w:tcW w:w="1418"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GHI CHÚ</w:t>
            </w: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01</w:t>
            </w:r>
          </w:p>
        </w:tc>
        <w:tc>
          <w:tcPr>
            <w:tcW w:w="3180" w:type="dxa"/>
          </w:tcPr>
          <w:p w:rsidR="0065289C" w:rsidRPr="0065289C"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Dương Tài Năng</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Trưởng phòng</w:t>
            </w:r>
          </w:p>
        </w:tc>
        <w:tc>
          <w:tcPr>
            <w:tcW w:w="2126" w:type="dxa"/>
          </w:tcPr>
          <w:p w:rsidR="0065289C"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0918.704.738</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02</w:t>
            </w:r>
          </w:p>
        </w:tc>
        <w:tc>
          <w:tcPr>
            <w:tcW w:w="3180" w:type="dxa"/>
          </w:tcPr>
          <w:p w:rsidR="0065289C" w:rsidRPr="0065289C"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Sơn Ngọc Diễm</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w:t>
            </w:r>
            <w:bookmarkStart w:id="0" w:name="_GoBack"/>
            <w:bookmarkEnd w:id="0"/>
            <w:r w:rsidRPr="0065289C">
              <w:rPr>
                <w:rFonts w:ascii="Times New Roman" w:hAnsi="Times New Roman" w:cs="Times New Roman"/>
                <w:color w:val="365F91" w:themeColor="accent1" w:themeShade="BF"/>
                <w:sz w:val="28"/>
                <w:szCs w:val="28"/>
              </w:rPr>
              <w:t>g phòng</w:t>
            </w:r>
          </w:p>
        </w:tc>
        <w:tc>
          <w:tcPr>
            <w:tcW w:w="2126" w:type="dxa"/>
          </w:tcPr>
          <w:p w:rsidR="0065289C"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0939.923.878</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w:t>
            </w:r>
          </w:p>
        </w:tc>
        <w:tc>
          <w:tcPr>
            <w:tcW w:w="3180" w:type="dxa"/>
          </w:tcPr>
          <w:p w:rsidR="0065289C" w:rsidRPr="0065289C"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Trần Văn Nhân</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P.Trưởng phòng</w:t>
            </w:r>
          </w:p>
        </w:tc>
        <w:tc>
          <w:tcPr>
            <w:tcW w:w="2126" w:type="dxa"/>
          </w:tcPr>
          <w:p w:rsidR="0065289C"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0978.113.789</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04</w:t>
            </w:r>
          </w:p>
        </w:tc>
        <w:tc>
          <w:tcPr>
            <w:tcW w:w="3180" w:type="dxa"/>
          </w:tcPr>
          <w:p w:rsidR="0065289C" w:rsidRPr="0065289C"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Thị Lệ</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0901.050.537</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05</w:t>
            </w:r>
          </w:p>
        </w:tc>
        <w:tc>
          <w:tcPr>
            <w:tcW w:w="3180" w:type="dxa"/>
          </w:tcPr>
          <w:p w:rsidR="0065289C" w:rsidRPr="0065289C"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Thị Minh Lý</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0909.680.811</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CB1256" w:rsidTr="0065289C">
        <w:tc>
          <w:tcPr>
            <w:tcW w:w="852" w:type="dxa"/>
            <w:vAlign w:val="center"/>
          </w:tcPr>
          <w:p w:rsidR="00CB1256" w:rsidRPr="0065289C"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06</w:t>
            </w:r>
          </w:p>
        </w:tc>
        <w:tc>
          <w:tcPr>
            <w:tcW w:w="3180" w:type="dxa"/>
          </w:tcPr>
          <w:p w:rsidR="00CB1256" w:rsidRDefault="00CB1256"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Nhựt Thanh</w:t>
            </w:r>
          </w:p>
        </w:tc>
        <w:tc>
          <w:tcPr>
            <w:tcW w:w="2206" w:type="dxa"/>
          </w:tcPr>
          <w:p w:rsidR="00CB1256" w:rsidRPr="0065289C" w:rsidRDefault="00CB1256" w:rsidP="0081732B">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CB1256" w:rsidRDefault="00CB1256"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0939.757.635</w:t>
            </w:r>
          </w:p>
        </w:tc>
        <w:tc>
          <w:tcPr>
            <w:tcW w:w="1418" w:type="dxa"/>
          </w:tcPr>
          <w:p w:rsidR="00CB1256" w:rsidRDefault="00CB1256" w:rsidP="0065289C">
            <w:pPr>
              <w:spacing w:before="120" w:after="120"/>
              <w:jc w:val="center"/>
              <w:rPr>
                <w:rFonts w:ascii="Times New Roman" w:hAnsi="Times New Roman" w:cs="Times New Roman"/>
                <w:sz w:val="28"/>
                <w:szCs w:val="28"/>
              </w:rPr>
            </w:pPr>
          </w:p>
        </w:tc>
      </w:tr>
    </w:tbl>
    <w:p w:rsidR="0065289C" w:rsidRPr="0065289C" w:rsidRDefault="0065289C" w:rsidP="0065289C">
      <w:pPr>
        <w:rPr>
          <w:rFonts w:ascii="Times New Roman" w:hAnsi="Times New Roman" w:cs="Times New Roman"/>
          <w:sz w:val="28"/>
          <w:szCs w:val="28"/>
        </w:rPr>
      </w:pPr>
    </w:p>
    <w:sectPr w:rsidR="0065289C" w:rsidRPr="0065289C" w:rsidSect="005E4BA9">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CF" w:rsidRDefault="00277CCF" w:rsidP="00493592">
      <w:pPr>
        <w:spacing w:line="240" w:lineRule="auto"/>
      </w:pPr>
      <w:r>
        <w:separator/>
      </w:r>
    </w:p>
  </w:endnote>
  <w:endnote w:type="continuationSeparator" w:id="0">
    <w:p w:rsidR="00277CCF" w:rsidRDefault="00277CCF"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BC1F1B">
          <w:rPr>
            <w:noProof/>
          </w:rPr>
          <w:t>5</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CF" w:rsidRDefault="00277CCF" w:rsidP="00493592">
      <w:pPr>
        <w:spacing w:line="240" w:lineRule="auto"/>
      </w:pPr>
      <w:r>
        <w:separator/>
      </w:r>
    </w:p>
  </w:footnote>
  <w:footnote w:type="continuationSeparator" w:id="0">
    <w:p w:rsidR="00277CCF" w:rsidRDefault="00277CCF" w:rsidP="00493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56D03"/>
    <w:rsid w:val="00073EAD"/>
    <w:rsid w:val="000A4CA7"/>
    <w:rsid w:val="00150349"/>
    <w:rsid w:val="00152F08"/>
    <w:rsid w:val="001873CC"/>
    <w:rsid w:val="001A2620"/>
    <w:rsid w:val="001D65DA"/>
    <w:rsid w:val="00221A94"/>
    <w:rsid w:val="00253A6B"/>
    <w:rsid w:val="00277CCF"/>
    <w:rsid w:val="002D37CB"/>
    <w:rsid w:val="002F1959"/>
    <w:rsid w:val="00300F10"/>
    <w:rsid w:val="00315ED5"/>
    <w:rsid w:val="0032455A"/>
    <w:rsid w:val="00395894"/>
    <w:rsid w:val="003C5BF7"/>
    <w:rsid w:val="003E44C2"/>
    <w:rsid w:val="003F3567"/>
    <w:rsid w:val="003F7021"/>
    <w:rsid w:val="00493592"/>
    <w:rsid w:val="004D4B21"/>
    <w:rsid w:val="004E1D4F"/>
    <w:rsid w:val="00545E05"/>
    <w:rsid w:val="00592F17"/>
    <w:rsid w:val="005E4BA9"/>
    <w:rsid w:val="00625172"/>
    <w:rsid w:val="0065289C"/>
    <w:rsid w:val="006C3D33"/>
    <w:rsid w:val="007555F6"/>
    <w:rsid w:val="00756B57"/>
    <w:rsid w:val="00787543"/>
    <w:rsid w:val="007955F6"/>
    <w:rsid w:val="007A70F9"/>
    <w:rsid w:val="007E656F"/>
    <w:rsid w:val="008017BF"/>
    <w:rsid w:val="00861C0B"/>
    <w:rsid w:val="00870E87"/>
    <w:rsid w:val="008B0DA5"/>
    <w:rsid w:val="008D1BC4"/>
    <w:rsid w:val="009070E3"/>
    <w:rsid w:val="009201F8"/>
    <w:rsid w:val="0098281B"/>
    <w:rsid w:val="009C7978"/>
    <w:rsid w:val="009F2DC8"/>
    <w:rsid w:val="00A94C1A"/>
    <w:rsid w:val="00AD2F7E"/>
    <w:rsid w:val="00AD52B0"/>
    <w:rsid w:val="00B04E1E"/>
    <w:rsid w:val="00B677FB"/>
    <w:rsid w:val="00BC1F1B"/>
    <w:rsid w:val="00BE4AAA"/>
    <w:rsid w:val="00C3601B"/>
    <w:rsid w:val="00C361CD"/>
    <w:rsid w:val="00CA3E70"/>
    <w:rsid w:val="00CB1256"/>
    <w:rsid w:val="00CC2725"/>
    <w:rsid w:val="00CD7EB1"/>
    <w:rsid w:val="00CF7FEC"/>
    <w:rsid w:val="00D2173E"/>
    <w:rsid w:val="00D23781"/>
    <w:rsid w:val="00D507D5"/>
    <w:rsid w:val="00D57FB1"/>
    <w:rsid w:val="00D67866"/>
    <w:rsid w:val="00DB4986"/>
    <w:rsid w:val="00E26D94"/>
    <w:rsid w:val="00E7127A"/>
    <w:rsid w:val="00EB6A27"/>
    <w:rsid w:val="00EE3056"/>
    <w:rsid w:val="00EE694A"/>
    <w:rsid w:val="00F45AB0"/>
    <w:rsid w:val="00F75A7D"/>
    <w:rsid w:val="00F75B6D"/>
    <w:rsid w:val="00F777B7"/>
    <w:rsid w:val="00F9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2019-12-31T12:11:00Z</cp:lastPrinted>
  <dcterms:created xsi:type="dcterms:W3CDTF">2020-03-16T13:44:00Z</dcterms:created>
  <dcterms:modified xsi:type="dcterms:W3CDTF">2020-03-16T13:45:00Z</dcterms:modified>
</cp:coreProperties>
</file>